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Mediglia</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Milano</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